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Информационно-методическое обеспечение надзорной деятельности МЧС России</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методическое обеспечение надзорной деятельности МЧС России»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«Информационно-методическое обеспечение надзорной деятельности МЧС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«Информационно-методическое обеспечение надзорной деятельности МЧС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государственный надзор в области пожарной безопасности, гражданской обороны, защиты населения и территорий от чрезвычайных ситуаций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направления, современные формы и методы осуществления надзорно-профилактической деятельности в сфере компетенции МЧС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порядок проведения пропаганды и обучения населения в области гражданской обороны, чрезвычайных ситуаций и пожарной безопасности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порядок сбора, обмена информацией, ведения государственного статистического учета и отчетности о чрезвычайных ситуациях, пожарах и их последствиях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проводить всероссийские массовые мероприятия, конкурсы и фестивали, направленные на профилактику пожарной безопасности, учитывая исторический опыт данных мероприятий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проводить пропаганду и обучение в области гражданской обороны, чрезвычайных ситуаций и пожарной безопасности, с учетом накопленного исторического опыта развития пожарных служб</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вести учет, отчетность и анализ чрезвычайных ситуаций, пожаров и их последствий, разрабатывать мероприятия по их предупреждению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осуществлять сбор, обмен информацией, вести государственный статистический учет и отчетность о чрезвычайных ситуациях, пожарах и их последствиях, для эффективного управления системой пожарной безопасности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проведения всероссийских массовых мероприятий, конкурсов и фестивалей, направленных на профилактику пожарной безопасности, с учетом сложившегося исторического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методами проведения пропаганды и обучения в области гражданской обороны, чрезвычайных ситуаций и пожарной безопасности</w:t>
            </w:r>
          </w:p>
        </w:tc>
      </w:tr>
      <w:tr>
        <w:trPr>
          <w:trHeight w:hRule="exact" w:val="490.9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владеть навыками ведения учета, отчетности и анализа чрезвычайных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пожаров и их последствий, разрабатывать мероприятия по их предупреждению</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«Информационно-методическое обеспечение надзорной деятельности МЧС России» относится к обязательной части, является дисциплиной Блока Б1. «Дисциплины (модули)». Модуль "Государственный надзор в области пожарной безопасности, защиты населения и территорий от чрезвычайных ситуаций"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пожарный надзор</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государственного пожарного надзора</w:t>
            </w:r>
          </w:p>
          <w:p>
            <w:pPr>
              <w:jc w:val="left"/>
              <w:spacing w:after="0" w:line="240" w:lineRule="auto"/>
              <w:rPr>
                <w:sz w:val="24"/>
                <w:szCs w:val="24"/>
              </w:rPr>
            </w:pPr>
            <w:r>
              <w:rPr>
                <w:rFonts w:ascii="Times New Roman" w:hAnsi="Times New Roman" w:cs="Times New Roman"/>
                <w:color w:val="#000000"/>
                <w:sz w:val="24"/>
                <w:szCs w:val="24"/>
              </w:rPr>
              <w:t>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Учет пожаров и их последствий с использованием программного комплекса «Статистика пожаров»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Специальное программное обеспечение исполнения административных процедур при осуществлении государственных надзоров в области пожарной безопасности, гражданской обороны и защиты населения и территорий от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Информационная система «Государственные услуги» и СМЭВ («Система межведомственного электронного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Информационные ресурсы лицензирования и обязательного подтверждения соответствия продукции требованиям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государственного пожарного надзора</w:t>
            </w:r>
          </w:p>
          <w:p>
            <w:pPr>
              <w:jc w:val="left"/>
              <w:spacing w:after="0" w:line="240" w:lineRule="auto"/>
              <w:rPr>
                <w:sz w:val="24"/>
                <w:szCs w:val="24"/>
              </w:rPr>
            </w:pPr>
            <w:r>
              <w:rPr>
                <w:rFonts w:ascii="Times New Roman" w:hAnsi="Times New Roman" w:cs="Times New Roman"/>
                <w:color w:val="#000000"/>
                <w:sz w:val="24"/>
                <w:szCs w:val="24"/>
              </w:rPr>
              <w:t>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Учет пожаров и их последствий с использованием программного комплекса «Статистика пожаров»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Специальное программное обеспечение исполнения административных процедур при осуществлении государственных надзоров в области пожарной безопасности, гражданской обороны и защиты населения и территорий от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Информационная система «Государственные услуги» и СМЭВ («Система межведомственного электронного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Информационные ресурсы лицензирования и обязательного подтверждения соответствия продукции требованиям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497.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государственного пожарного надзора</w:t>
            </w:r>
          </w:p>
          <w:p>
            <w:pPr>
              <w:jc w:val="center"/>
              <w:spacing w:after="0" w:line="240" w:lineRule="auto"/>
              <w:rPr>
                <w:sz w:val="24"/>
                <w:szCs w:val="24"/>
              </w:rPr>
            </w:pPr>
            <w:r>
              <w:rPr>
                <w:rFonts w:ascii="Times New Roman" w:hAnsi="Times New Roman" w:cs="Times New Roman"/>
                <w:b/>
                <w:color w:val="#000000"/>
                <w:sz w:val="24"/>
                <w:szCs w:val="24"/>
              </w:rPr>
              <w:t> в Российской Федерации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434.7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Информационно-методическое обеспечение надзорной деятельности МЧС России в системе обеспечения пожарной безопасности. Информационно-методическое обеспечение надзорной деятельности МЧС России в единой системе государственных надзоров в области пожарной безопасности, гражданской обороны и защиты населения и территорий от чрезвычайных ситуаций. Правовые основы деятельности и полномочия органов ГПН.</w:t>
            </w:r>
          </w:p>
          <w:p>
            <w:pPr>
              <w:jc w:val="both"/>
              <w:spacing w:after="0" w:line="240" w:lineRule="auto"/>
              <w:rPr>
                <w:sz w:val="24"/>
                <w:szCs w:val="24"/>
              </w:rPr>
            </w:pPr>
            <w:r>
              <w:rPr>
                <w:rFonts w:ascii="Times New Roman" w:hAnsi="Times New Roman" w:cs="Times New Roman"/>
                <w:color w:val="#000000"/>
                <w:sz w:val="24"/>
                <w:szCs w:val="24"/>
              </w:rPr>
              <w:t> Должностные лица органов ГПН, их права, обязанности, ответственность. Организация деятельности органов государственного пожарного надзора. Закрепление объектов надзора за государственными инспекторами по пожарному надзору. Анализ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органов ГПН. Контроль за организацией и осуществлением государственного пожарного надзора. Основные формы отчетности органов ГПН. Консультирование по исполнению государственной функции и иным вопросам, входящим в компетенцию органов ГПН. Рассмотрение обращений в органы ГПН.</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Учет пожаров и их последствий с использованием программного комплекса «Статистика пожаров»</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Учет пожаров и их последствий в системе обеспечения пожарной безопасности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Федеральное статистическое наблюдение по пожарам и их последствиям. Первичные статистические данные по пожарам и их последствиям. Административные данные по пожарам и их последствиям.</w:t>
            </w:r>
          </w:p>
          <w:p>
            <w:pPr>
              <w:jc w:val="both"/>
              <w:spacing w:after="0" w:line="240" w:lineRule="auto"/>
              <w:rPr>
                <w:sz w:val="24"/>
                <w:szCs w:val="24"/>
              </w:rPr>
            </w:pPr>
            <w:r>
              <w:rPr>
                <w:rFonts w:ascii="Times New Roman" w:hAnsi="Times New Roman" w:cs="Times New Roman"/>
                <w:color w:val="#000000"/>
                <w:sz w:val="24"/>
                <w:szCs w:val="24"/>
              </w:rPr>
              <w:t> 3.	Пожары, подлежащие статистическому учету.</w:t>
            </w:r>
          </w:p>
          <w:p>
            <w:pPr>
              <w:jc w:val="both"/>
              <w:spacing w:after="0" w:line="240" w:lineRule="auto"/>
              <w:rPr>
                <w:sz w:val="24"/>
                <w:szCs w:val="24"/>
              </w:rPr>
            </w:pPr>
            <w:r>
              <w:rPr>
                <w:rFonts w:ascii="Times New Roman" w:hAnsi="Times New Roman" w:cs="Times New Roman"/>
                <w:color w:val="#000000"/>
                <w:sz w:val="24"/>
                <w:szCs w:val="24"/>
              </w:rPr>
              <w:t> 4.	Полномочия органов федерального государственного пожарного надзора по ведению официального статистического учета пожаров и их последствий.</w:t>
            </w:r>
          </w:p>
          <w:p>
            <w:pPr>
              <w:jc w:val="both"/>
              <w:spacing w:after="0" w:line="240" w:lineRule="auto"/>
              <w:rPr>
                <w:sz w:val="24"/>
                <w:szCs w:val="24"/>
              </w:rPr>
            </w:pPr>
            <w:r>
              <w:rPr>
                <w:rFonts w:ascii="Times New Roman" w:hAnsi="Times New Roman" w:cs="Times New Roman"/>
                <w:color w:val="#000000"/>
                <w:sz w:val="24"/>
                <w:szCs w:val="24"/>
              </w:rPr>
              <w:t> 5.	Карточка учета пожара (загорания). Порядок заполнения и прохождения карточки учета пожара (загорания).Электронная база данных по пожарам (загораниям).</w:t>
            </w:r>
          </w:p>
          <w:p>
            <w:pPr>
              <w:jc w:val="both"/>
              <w:spacing w:after="0" w:line="240" w:lineRule="auto"/>
              <w:rPr>
                <w:sz w:val="24"/>
                <w:szCs w:val="24"/>
              </w:rPr>
            </w:pPr>
            <w:r>
              <w:rPr>
                <w:rFonts w:ascii="Times New Roman" w:hAnsi="Times New Roman" w:cs="Times New Roman"/>
                <w:color w:val="#000000"/>
                <w:sz w:val="24"/>
                <w:szCs w:val="24"/>
              </w:rPr>
              <w:t> 6.	Заполнение карточки учета пожара (загорания) в электронном виде с использованием программного комплекса «СтатПож 2009».</w:t>
            </w:r>
          </w:p>
          <w:p>
            <w:pPr>
              <w:jc w:val="both"/>
              <w:spacing w:after="0" w:line="240" w:lineRule="auto"/>
              <w:rPr>
                <w:sz w:val="24"/>
                <w:szCs w:val="24"/>
              </w:rPr>
            </w:pPr>
            <w:r>
              <w:rPr>
                <w:rFonts w:ascii="Times New Roman" w:hAnsi="Times New Roman" w:cs="Times New Roman"/>
                <w:color w:val="#000000"/>
                <w:sz w:val="24"/>
                <w:szCs w:val="24"/>
              </w:rPr>
              <w:t> 7.	Формирование запросов и осуществление выборок данных из электронной базы данных по пожарам (загораниям) с использованием программного комплекса «СтатПож 2009».</w:t>
            </w:r>
          </w:p>
          <w:p>
            <w:pPr>
              <w:jc w:val="both"/>
              <w:spacing w:after="0" w:line="240" w:lineRule="auto"/>
              <w:rPr>
                <w:sz w:val="24"/>
                <w:szCs w:val="24"/>
              </w:rPr>
            </w:pPr>
            <w:r>
              <w:rPr>
                <w:rFonts w:ascii="Times New Roman" w:hAnsi="Times New Roman" w:cs="Times New Roman"/>
                <w:color w:val="#000000"/>
                <w:sz w:val="24"/>
                <w:szCs w:val="24"/>
              </w:rPr>
              <w:t> 8.	Требования к заполнению карточки учета пожара (загорания) в электронном виде.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Специальное программное обеспечение исполнения административных процедур при осуществлении государственных надзоров в области пожарной безопасности, гражданской обороны и защиты населения и территорий от чрезвычайных ситуаций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Автоматизированная информационная система «Электронный инспектор» (СПО ИАП). Функциональное и эксплуатационное назначение. Условия выполнения программы. Уровни доступа к программе. Запуск и завершение программы. Пользовательский интерфейс программы. Реестры юридических лиц и индивидуальных предпринимателей. Реестры электронных контрольно-наблюдательных дел объектов надзора (ЭКНД). Регламент формирования ЭКНД. Карточка данных объекта надзора. Карточка ГПН – регистрации надзорной деятельности в области пожарной безопасности. Карточка ГНГО – регистрации надзорной деятельности в области гражданской обороны. Карточка ГНЗНТЧС – регистрации надзорной деятельности в области защиты населения и территорий от чрезвычайных ситуаций. Планирование проверок на объектах надзора.</w:t>
            </w:r>
          </w:p>
          <w:p>
            <w:pPr>
              <w:jc w:val="both"/>
              <w:spacing w:after="0" w:line="240" w:lineRule="auto"/>
              <w:rPr>
                <w:sz w:val="24"/>
                <w:szCs w:val="24"/>
              </w:rPr>
            </w:pPr>
            <w:r>
              <w:rPr>
                <w:rFonts w:ascii="Times New Roman" w:hAnsi="Times New Roman" w:cs="Times New Roman"/>
                <w:color w:val="#000000"/>
                <w:sz w:val="24"/>
                <w:szCs w:val="24"/>
              </w:rPr>
              <w:t> Оформление результатов проверок на объектах надзора. Формирование дел об административных правонарушениях на объекте надзора. Планирование деятельности органа надзорной деятельности. Функция «Исполнение административных процедур».</w:t>
            </w:r>
          </w:p>
          <w:p>
            <w:pPr>
              <w:jc w:val="both"/>
              <w:spacing w:after="0" w:line="240" w:lineRule="auto"/>
              <w:rPr>
                <w:sz w:val="24"/>
                <w:szCs w:val="24"/>
              </w:rPr>
            </w:pPr>
            <w:r>
              <w:rPr>
                <w:rFonts w:ascii="Times New Roman" w:hAnsi="Times New Roman" w:cs="Times New Roman"/>
                <w:color w:val="#000000"/>
                <w:sz w:val="24"/>
                <w:szCs w:val="24"/>
              </w:rPr>
              <w:t> Формирование журналов учета. Формирование отчетов. Статистика надзорной деятельности. Анализ надзорной деятельности с использованием СПО ИАП.</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Информационная система «Государственные услуги» и СМЭВ («Система межведомственного электронного взаимодействия»)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Единый портал государственных услуг. Автоматизированные государственные услуги, оказываемые МЧС России. Межведомственное электронное взаимодействие в Российской Федерации. Порядок оформления межведомственного электронного запроса.</w:t>
            </w:r>
          </w:p>
          <w:p>
            <w:pPr>
              <w:jc w:val="both"/>
              <w:spacing w:after="0" w:line="240" w:lineRule="auto"/>
              <w:rPr>
                <w:sz w:val="24"/>
                <w:szCs w:val="24"/>
              </w:rPr>
            </w:pPr>
            <w:r>
              <w:rPr>
                <w:rFonts w:ascii="Times New Roman" w:hAnsi="Times New Roman" w:cs="Times New Roman"/>
                <w:color w:val="#000000"/>
                <w:sz w:val="24"/>
                <w:szCs w:val="24"/>
              </w:rPr>
              <w:t> Перечень государственных услуг, оказываемые МЧС России. Порядок межведомственного электронного взаимодействия в Российской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Информационные ресурсы лицензирования и обязательного подтверждения соответствия продукции требованиям пожарной безопасности</w:t>
            </w:r>
          </w:p>
        </w:tc>
      </w:tr>
      <w:tr>
        <w:trPr>
          <w:trHeight w:hRule="exact" w:val="1363.2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Модуль ПАК НД «Сертификация» (подтверждение соответствия) - его назначение и функциональные характеристики. Реестр выданных сертификатов и деклараций. Реестры органов по сертификации и испытательных лабораторий.</w:t>
            </w:r>
          </w:p>
          <w:p>
            <w:pPr>
              <w:jc w:val="both"/>
              <w:spacing w:after="0" w:line="240" w:lineRule="auto"/>
              <w:rPr>
                <w:sz w:val="24"/>
                <w:szCs w:val="24"/>
              </w:rPr>
            </w:pPr>
            <w:r>
              <w:rPr>
                <w:rFonts w:ascii="Times New Roman" w:hAnsi="Times New Roman" w:cs="Times New Roman"/>
                <w:color w:val="#000000"/>
                <w:sz w:val="24"/>
                <w:szCs w:val="24"/>
              </w:rPr>
              <w:t> Модуль ПАК НД «Лицензирование», его назначение и функциональные характеристики. Реестр лицензий в области пожарной безопасности.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ПТР «АИС ЛОД» - Программно-техническое решение «Информационная система поддержки лицензирования отдельных видов деятельности»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государственного пожарного надзора</w:t>
            </w:r>
          </w:p>
          <w:p>
            <w:pPr>
              <w:jc w:val="center"/>
              <w:spacing w:after="0" w:line="240" w:lineRule="auto"/>
              <w:rPr>
                <w:sz w:val="24"/>
                <w:szCs w:val="24"/>
              </w:rPr>
            </w:pPr>
            <w:r>
              <w:rPr>
                <w:rFonts w:ascii="Times New Roman" w:hAnsi="Times New Roman" w:cs="Times New Roman"/>
                <w:b/>
                <w:color w:val="#000000"/>
                <w:sz w:val="24"/>
                <w:szCs w:val="24"/>
              </w:rPr>
              <w:t> в Российской Федерации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Информационно-методическое обеспечение надзорной деятельности МЧС России в системе обеспечения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2.	Основные формы отчетности органов ГПН.</w:t>
            </w:r>
          </w:p>
          <w:p>
            <w:pPr>
              <w:jc w:val="left"/>
              <w:spacing w:after="0" w:line="240" w:lineRule="auto"/>
              <w:rPr>
                <w:sz w:val="24"/>
                <w:szCs w:val="24"/>
              </w:rPr>
            </w:pPr>
            <w:r>
              <w:rPr>
                <w:rFonts w:ascii="Times New Roman" w:hAnsi="Times New Roman" w:cs="Times New Roman"/>
                <w:color w:val="#000000"/>
                <w:sz w:val="24"/>
                <w:szCs w:val="24"/>
              </w:rPr>
              <w:t> 3.	Консультирование по исполнению государственной функции и иным вопросам, входящим в компетенцию органов ГПН.</w:t>
            </w:r>
          </w:p>
          <w:p>
            <w:pPr>
              <w:jc w:val="left"/>
              <w:spacing w:after="0" w:line="240" w:lineRule="auto"/>
              <w:rPr>
                <w:sz w:val="24"/>
                <w:szCs w:val="24"/>
              </w:rPr>
            </w:pPr>
            <w:r>
              <w:rPr>
                <w:rFonts w:ascii="Times New Roman" w:hAnsi="Times New Roman" w:cs="Times New Roman"/>
                <w:color w:val="#000000"/>
                <w:sz w:val="24"/>
                <w:szCs w:val="24"/>
              </w:rPr>
              <w:t> 4.	Рассмотрение обращений в органы ГПН.</w:t>
            </w:r>
          </w:p>
          <w:p>
            <w:pPr>
              <w:jc w:val="left"/>
              <w:spacing w:after="0" w:line="240" w:lineRule="auto"/>
              <w:rPr>
                <w:sz w:val="24"/>
                <w:szCs w:val="24"/>
              </w:rPr>
            </w:pPr>
            <w:r>
              <w:rPr>
                <w:rFonts w:ascii="Times New Roman" w:hAnsi="Times New Roman" w:cs="Times New Roman"/>
                <w:color w:val="#000000"/>
                <w:sz w:val="24"/>
                <w:szCs w:val="24"/>
              </w:rPr>
              <w:t> 5.	Особенности осуществления государственного пожарного надзора в современных условиях.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Учет пожаров и их последствий с использованием программного комплекса «Статистика пожаров»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Программный комплекс «СтатПож2009». Функциональное и эксплуатационное назначение. Условия выполнения программных модулей комплекса. Модуль «Ввод данных» формирования электронных баз данных по пожарам (загораниям). Модуль «Запросы» формирования запросов и осуществления выборок данных из базы данных по пожарам (загораниям).</w:t>
            </w:r>
          </w:p>
        </w:tc>
      </w:tr>
      <w:tr>
        <w:trPr>
          <w:trHeight w:hRule="exact" w:val="8.08482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Специальное программное обеспечение исполнения административных процедур при осуществлении государственных надзоров в области пожарной безопасности, гражданской обороны и защиты населения и территорий от чрезвычайных ситуаций</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Учет объектов надзора, планирование проверок и подготовка к их проведению с использованием СПО ИАП (ПЗ)</w:t>
            </w:r>
          </w:p>
          <w:p>
            <w:pPr>
              <w:jc w:val="left"/>
              <w:spacing w:after="0" w:line="240" w:lineRule="auto"/>
              <w:rPr>
                <w:sz w:val="24"/>
                <w:szCs w:val="24"/>
              </w:rPr>
            </w:pPr>
            <w:r>
              <w:rPr>
                <w:rFonts w:ascii="Times New Roman" w:hAnsi="Times New Roman" w:cs="Times New Roman"/>
                <w:color w:val="#000000"/>
                <w:sz w:val="24"/>
                <w:szCs w:val="24"/>
              </w:rPr>
              <w:t> 2.	Эксплуатация СПО ИАП при осуществлении административно-правовой деятельности (ПЗ)</w:t>
            </w:r>
          </w:p>
          <w:p>
            <w:pPr>
              <w:jc w:val="left"/>
              <w:spacing w:after="0" w:line="240" w:lineRule="auto"/>
              <w:rPr>
                <w:sz w:val="24"/>
                <w:szCs w:val="24"/>
              </w:rPr>
            </w:pPr>
            <w:r>
              <w:rPr>
                <w:rFonts w:ascii="Times New Roman" w:hAnsi="Times New Roman" w:cs="Times New Roman"/>
                <w:color w:val="#000000"/>
                <w:sz w:val="24"/>
                <w:szCs w:val="24"/>
              </w:rPr>
              <w:t> 3.	Функциональное назначения Сайта «АИС Электронный инспектор. Система государственных надзоров МЧС России».</w:t>
            </w:r>
          </w:p>
          <w:p>
            <w:pPr>
              <w:jc w:val="left"/>
              <w:spacing w:after="0" w:line="240" w:lineRule="auto"/>
              <w:rPr>
                <w:sz w:val="24"/>
                <w:szCs w:val="24"/>
              </w:rPr>
            </w:pPr>
            <w:r>
              <w:rPr>
                <w:rFonts w:ascii="Times New Roman" w:hAnsi="Times New Roman" w:cs="Times New Roman"/>
                <w:color w:val="#000000"/>
                <w:sz w:val="24"/>
                <w:szCs w:val="24"/>
              </w:rPr>
              <w:t> 4.	Структура сайта, порядок использования запросных систем приложения.</w:t>
            </w:r>
          </w:p>
          <w:p>
            <w:pPr>
              <w:jc w:val="left"/>
              <w:spacing w:after="0" w:line="240" w:lineRule="auto"/>
              <w:rPr>
                <w:sz w:val="24"/>
                <w:szCs w:val="24"/>
              </w:rPr>
            </w:pPr>
            <w:r>
              <w:rPr>
                <w:rFonts w:ascii="Times New Roman" w:hAnsi="Times New Roman" w:cs="Times New Roman"/>
                <w:color w:val="#000000"/>
                <w:sz w:val="24"/>
                <w:szCs w:val="24"/>
              </w:rPr>
              <w:t> 5.	Формирование аналитических и статистических отчетов по надзорной деятельности на территории Российской Федерации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Информационная система «Государственные услуги» и СМЭВ («Система межведомственного электронного взаимодействия»)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Модуль информационно-справочной и методической поддержки «Проверка организаций и граждан».</w:t>
            </w:r>
          </w:p>
          <w:p>
            <w:pPr>
              <w:jc w:val="left"/>
              <w:spacing w:after="0" w:line="240" w:lineRule="auto"/>
              <w:rPr>
                <w:sz w:val="24"/>
                <w:szCs w:val="24"/>
              </w:rPr>
            </w:pPr>
            <w:r>
              <w:rPr>
                <w:rFonts w:ascii="Times New Roman" w:hAnsi="Times New Roman" w:cs="Times New Roman"/>
                <w:color w:val="#000000"/>
                <w:sz w:val="24"/>
                <w:szCs w:val="24"/>
              </w:rPr>
              <w:t> 2.	Модуль информационно-справочной и методической поддержки «Проверка органов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3.	Модуль «Административно-правовая деятельность». Формы документов.</w:t>
            </w:r>
          </w:p>
          <w:p>
            <w:pPr>
              <w:jc w:val="left"/>
              <w:spacing w:after="0" w:line="240" w:lineRule="auto"/>
              <w:rPr>
                <w:sz w:val="24"/>
                <w:szCs w:val="24"/>
              </w:rPr>
            </w:pPr>
            <w:r>
              <w:rPr>
                <w:rFonts w:ascii="Times New Roman" w:hAnsi="Times New Roman" w:cs="Times New Roman"/>
                <w:color w:val="#000000"/>
                <w:sz w:val="24"/>
                <w:szCs w:val="24"/>
              </w:rPr>
              <w:t> 4.	Справочник «Нормативные документы»</w:t>
            </w:r>
          </w:p>
          <w:p>
            <w:pPr>
              <w:jc w:val="left"/>
              <w:spacing w:after="0" w:line="240" w:lineRule="auto"/>
              <w:rPr>
                <w:sz w:val="24"/>
                <w:szCs w:val="24"/>
              </w:rPr>
            </w:pPr>
            <w:r>
              <w:rPr>
                <w:rFonts w:ascii="Times New Roman" w:hAnsi="Times New Roman" w:cs="Times New Roman"/>
                <w:color w:val="#000000"/>
                <w:sz w:val="24"/>
                <w:szCs w:val="24"/>
              </w:rPr>
              <w:t> 5.	Функциональное назначение модулей «Проверка» и «Административно-правовая деятельность» программно-аппаратного комплекса надзорной деятельности.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Информационные ресурсы лицензирования и обязательного подтверждения соответствия продукции требованиям пожарной безопасности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Модуль ПАК НД «Сертификация» (подтверждение соответствия) - его назначение и функциональные характеристики.</w:t>
            </w:r>
          </w:p>
          <w:p>
            <w:pPr>
              <w:jc w:val="left"/>
              <w:spacing w:after="0" w:line="240" w:lineRule="auto"/>
              <w:rPr>
                <w:sz w:val="24"/>
                <w:szCs w:val="24"/>
              </w:rPr>
            </w:pPr>
            <w:r>
              <w:rPr>
                <w:rFonts w:ascii="Times New Roman" w:hAnsi="Times New Roman" w:cs="Times New Roman"/>
                <w:color w:val="#000000"/>
                <w:sz w:val="24"/>
                <w:szCs w:val="24"/>
              </w:rPr>
              <w:t> 2.	Модуль ПАК НД «Лицензирование», его назначение и функциональные характеристики.</w:t>
            </w:r>
          </w:p>
          <w:p>
            <w:pPr>
              <w:jc w:val="left"/>
              <w:spacing w:after="0" w:line="240" w:lineRule="auto"/>
              <w:rPr>
                <w:sz w:val="24"/>
                <w:szCs w:val="24"/>
              </w:rPr>
            </w:pPr>
            <w:r>
              <w:rPr>
                <w:rFonts w:ascii="Times New Roman" w:hAnsi="Times New Roman" w:cs="Times New Roman"/>
                <w:color w:val="#000000"/>
                <w:sz w:val="24"/>
                <w:szCs w:val="24"/>
              </w:rPr>
              <w:t> 3.	Функциональное назначение модулей «Лицензирование» и «Сертификация» программно-аппаратного комплекса надзорной деятельности</w:t>
            </w:r>
          </w:p>
          <w:p>
            <w:pPr>
              <w:jc w:val="left"/>
              <w:spacing w:after="0" w:line="240" w:lineRule="auto"/>
              <w:rPr>
                <w:sz w:val="24"/>
                <w:szCs w:val="24"/>
              </w:rPr>
            </w:pPr>
            <w:r>
              <w:rPr>
                <w:rFonts w:ascii="Times New Roman" w:hAnsi="Times New Roman" w:cs="Times New Roman"/>
                <w:color w:val="#000000"/>
                <w:sz w:val="24"/>
                <w:szCs w:val="24"/>
              </w:rPr>
              <w:t> 4.	ПТР «АИС ЛОД» - Программно-техническое решение «Информационная система поддержки лицензирования отдельных видов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методическое обеспечение надзорной деятельности МЧС России»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https://urait.ru/bcode/490053</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пожарной</w:t>
            </w:r>
            <w:r>
              <w:rPr/>
              <w:t xml:space="preserve"> </w:t>
            </w:r>
            <w:r>
              <w:rPr>
                <w:rFonts w:ascii="Times New Roman" w:hAnsi="Times New Roman" w:cs="Times New Roman"/>
                <w:color w:val="#000000"/>
                <w:sz w:val="24"/>
                <w:szCs w:val="24"/>
              </w:rPr>
              <w:t>охране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Ермилов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https://urait.ru/bcode/496933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Расследование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пожаров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Плешаков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Булгаков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978-5-534-15019-3.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https://urait.ru/bcode/486414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20.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2022-2023_ФГОС3++2022_Бак-ЗФО-ГМУ(ПБЧС)(22)_plx_Информационно-методическое обеспечение надзорной деятельности МЧС России</dc:title>
  <dc:creator>FastReport.NET</dc:creator>
</cp:coreProperties>
</file>